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D0" w:rsidRDefault="000021D0" w:rsidP="00AE410A">
      <w:pPr>
        <w:autoSpaceDE w:val="0"/>
        <w:adjustRightInd w:val="0"/>
        <w:ind w:left="-567" w:firstLine="567"/>
        <w:jc w:val="center"/>
        <w:rPr>
          <w:b/>
          <w:sz w:val="32"/>
          <w:szCs w:val="32"/>
        </w:rPr>
      </w:pPr>
      <w:r w:rsidRPr="009B5AE9">
        <w:rPr>
          <w:b/>
          <w:sz w:val="32"/>
          <w:szCs w:val="32"/>
        </w:rPr>
        <w:t>Перечень государственных услуг Ф</w:t>
      </w:r>
      <w:r w:rsidR="00AE410A">
        <w:rPr>
          <w:b/>
          <w:sz w:val="32"/>
          <w:szCs w:val="32"/>
        </w:rPr>
        <w:t>едеральной налоговой службы</w:t>
      </w:r>
      <w:r w:rsidRPr="009B5AE9">
        <w:rPr>
          <w:b/>
          <w:sz w:val="32"/>
          <w:szCs w:val="32"/>
        </w:rPr>
        <w:t xml:space="preserve"> России,</w:t>
      </w:r>
      <w:r w:rsidR="00AE410A">
        <w:rPr>
          <w:b/>
          <w:sz w:val="32"/>
          <w:szCs w:val="32"/>
        </w:rPr>
        <w:t xml:space="preserve"> </w:t>
      </w:r>
      <w:r w:rsidRPr="009B5AE9">
        <w:rPr>
          <w:b/>
          <w:sz w:val="32"/>
          <w:szCs w:val="32"/>
        </w:rPr>
        <w:t>предоставляемых в КГБУ «МФЦ»</w:t>
      </w:r>
    </w:p>
    <w:p w:rsidR="009B5AE9" w:rsidRPr="009B5AE9" w:rsidRDefault="009B5AE9" w:rsidP="00D5765A">
      <w:pPr>
        <w:autoSpaceDE w:val="0"/>
        <w:adjustRightInd w:val="0"/>
        <w:jc w:val="center"/>
        <w:rPr>
          <w:b/>
          <w:sz w:val="16"/>
          <w:szCs w:val="16"/>
        </w:rPr>
      </w:pPr>
    </w:p>
    <w:tbl>
      <w:tblPr>
        <w:tblW w:w="10078"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86"/>
        <w:gridCol w:w="9192"/>
      </w:tblGrid>
      <w:tr w:rsidR="00225AF4" w:rsidRPr="00A70C5C" w:rsidTr="009B5AE9">
        <w:trPr>
          <w:trHeight w:val="414"/>
          <w:jc w:val="center"/>
        </w:trPr>
        <w:tc>
          <w:tcPr>
            <w:tcW w:w="886" w:type="dxa"/>
            <w:shd w:val="clear" w:color="auto" w:fill="FFFFFF"/>
            <w:hideMark/>
          </w:tcPr>
          <w:p w:rsidR="00225AF4" w:rsidRPr="00A70C5C" w:rsidRDefault="00225AF4" w:rsidP="009B5AE9">
            <w:pPr>
              <w:ind w:left="-135"/>
              <w:jc w:val="center"/>
              <w:rPr>
                <w:sz w:val="26"/>
                <w:szCs w:val="26"/>
              </w:rPr>
            </w:pPr>
            <w:r w:rsidRPr="00A70C5C">
              <w:rPr>
                <w:sz w:val="26"/>
                <w:szCs w:val="26"/>
              </w:rPr>
              <w:t>№</w:t>
            </w:r>
            <w:r w:rsidR="009B5AE9" w:rsidRPr="00A70C5C">
              <w:rPr>
                <w:sz w:val="26"/>
                <w:szCs w:val="26"/>
              </w:rPr>
              <w:t xml:space="preserve"> </w:t>
            </w:r>
            <w:proofErr w:type="gramStart"/>
            <w:r w:rsidRPr="00A70C5C">
              <w:rPr>
                <w:sz w:val="26"/>
                <w:szCs w:val="26"/>
              </w:rPr>
              <w:t>п</w:t>
            </w:r>
            <w:proofErr w:type="gramEnd"/>
            <w:r w:rsidRPr="00A70C5C">
              <w:rPr>
                <w:sz w:val="26"/>
                <w:szCs w:val="26"/>
              </w:rPr>
              <w:t>/п</w:t>
            </w:r>
          </w:p>
        </w:tc>
        <w:tc>
          <w:tcPr>
            <w:tcW w:w="9192" w:type="dxa"/>
            <w:shd w:val="clear" w:color="auto" w:fill="FFFFFF"/>
            <w:vAlign w:val="center"/>
            <w:hideMark/>
          </w:tcPr>
          <w:p w:rsidR="00225AF4" w:rsidRPr="00A70C5C" w:rsidRDefault="00225AF4" w:rsidP="0018783A">
            <w:pPr>
              <w:jc w:val="center"/>
              <w:rPr>
                <w:sz w:val="26"/>
                <w:szCs w:val="26"/>
              </w:rPr>
            </w:pPr>
            <w:r w:rsidRPr="00A70C5C">
              <w:rPr>
                <w:sz w:val="26"/>
                <w:szCs w:val="26"/>
              </w:rPr>
              <w:t>Наименование государственной услуги</w:t>
            </w:r>
          </w:p>
        </w:tc>
      </w:tr>
      <w:tr w:rsidR="00225AF4" w:rsidRPr="00A70C5C" w:rsidTr="009B5AE9">
        <w:trPr>
          <w:jc w:val="center"/>
        </w:trPr>
        <w:tc>
          <w:tcPr>
            <w:tcW w:w="886" w:type="dxa"/>
            <w:shd w:val="clear" w:color="auto" w:fill="FFFFFF"/>
            <w:hideMark/>
          </w:tcPr>
          <w:p w:rsidR="00225AF4" w:rsidRPr="00A70C5C" w:rsidRDefault="00225AF4" w:rsidP="0018783A">
            <w:pPr>
              <w:jc w:val="center"/>
              <w:rPr>
                <w:sz w:val="26"/>
                <w:szCs w:val="26"/>
              </w:rPr>
            </w:pPr>
            <w:r w:rsidRPr="00A70C5C">
              <w:rPr>
                <w:sz w:val="26"/>
                <w:szCs w:val="26"/>
              </w:rPr>
              <w:t>1</w:t>
            </w:r>
          </w:p>
        </w:tc>
        <w:tc>
          <w:tcPr>
            <w:tcW w:w="9192" w:type="dxa"/>
            <w:shd w:val="clear" w:color="auto" w:fill="FFFFFF"/>
            <w:hideMark/>
          </w:tcPr>
          <w:p w:rsidR="00225AF4" w:rsidRPr="00A70C5C" w:rsidRDefault="00225AF4" w:rsidP="00225AF4">
            <w:pPr>
              <w:autoSpaceDE w:val="0"/>
              <w:autoSpaceDN w:val="0"/>
              <w:adjustRightInd w:val="0"/>
              <w:ind w:left="98" w:right="104"/>
              <w:jc w:val="both"/>
              <w:rPr>
                <w:sz w:val="26"/>
                <w:szCs w:val="26"/>
              </w:rPr>
            </w:pPr>
            <w:r w:rsidRPr="00A70C5C">
              <w:rPr>
                <w:sz w:val="26"/>
                <w:szCs w:val="26"/>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2</w:t>
            </w:r>
          </w:p>
        </w:tc>
        <w:tc>
          <w:tcPr>
            <w:tcW w:w="9192" w:type="dxa"/>
            <w:shd w:val="clear" w:color="auto" w:fill="FFFFFF"/>
          </w:tcPr>
          <w:p w:rsidR="00225AF4" w:rsidRPr="00A70C5C" w:rsidRDefault="00225AF4" w:rsidP="00225AF4">
            <w:pPr>
              <w:autoSpaceDE w:val="0"/>
              <w:autoSpaceDN w:val="0"/>
              <w:adjustRightInd w:val="0"/>
              <w:ind w:left="98" w:right="104"/>
              <w:jc w:val="both"/>
              <w:rPr>
                <w:sz w:val="26"/>
                <w:szCs w:val="26"/>
              </w:rPr>
            </w:pPr>
            <w:r w:rsidRPr="00A70C5C">
              <w:rPr>
                <w:sz w:val="26"/>
                <w:szCs w:val="26"/>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3</w:t>
            </w:r>
          </w:p>
        </w:tc>
        <w:tc>
          <w:tcPr>
            <w:tcW w:w="9192" w:type="dxa"/>
            <w:shd w:val="clear" w:color="auto" w:fill="FFFFFF"/>
          </w:tcPr>
          <w:p w:rsidR="00225AF4" w:rsidRPr="00A70C5C" w:rsidRDefault="00225AF4" w:rsidP="00225AF4">
            <w:pPr>
              <w:autoSpaceDE w:val="0"/>
              <w:autoSpaceDN w:val="0"/>
              <w:adjustRightInd w:val="0"/>
              <w:ind w:left="98" w:right="104"/>
              <w:jc w:val="both"/>
              <w:rPr>
                <w:sz w:val="26"/>
                <w:szCs w:val="26"/>
              </w:rPr>
            </w:pPr>
            <w:r w:rsidRPr="00A70C5C">
              <w:rPr>
                <w:sz w:val="26"/>
                <w:szCs w:val="26"/>
              </w:rPr>
              <w:t>Предоставление заинтересованным лицам сведений, содержащихся в реестре дисквалифицированных лиц</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4</w:t>
            </w:r>
          </w:p>
        </w:tc>
        <w:tc>
          <w:tcPr>
            <w:tcW w:w="9192" w:type="dxa"/>
            <w:shd w:val="clear" w:color="auto" w:fill="FFFFFF"/>
          </w:tcPr>
          <w:p w:rsidR="00225AF4" w:rsidRPr="00A70C5C" w:rsidRDefault="00225AF4" w:rsidP="00225AF4">
            <w:pPr>
              <w:autoSpaceDE w:val="0"/>
              <w:autoSpaceDN w:val="0"/>
              <w:adjustRightInd w:val="0"/>
              <w:ind w:left="98" w:right="104"/>
              <w:jc w:val="both"/>
              <w:rPr>
                <w:sz w:val="26"/>
                <w:szCs w:val="26"/>
              </w:rPr>
            </w:pPr>
            <w:proofErr w:type="gramStart"/>
            <w:r w:rsidRPr="00A70C5C">
              <w:rPr>
                <w:sz w:val="26"/>
                <w:szCs w:val="26"/>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w:t>
            </w:r>
            <w:proofErr w:type="gramEnd"/>
            <w:r w:rsidRPr="00A70C5C">
              <w:rPr>
                <w:sz w:val="26"/>
                <w:szCs w:val="26"/>
              </w:rPr>
              <w:t xml:space="preserve">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5</w:t>
            </w:r>
          </w:p>
        </w:tc>
        <w:tc>
          <w:tcPr>
            <w:tcW w:w="9192" w:type="dxa"/>
            <w:shd w:val="clear" w:color="auto" w:fill="FFFFFF"/>
          </w:tcPr>
          <w:p w:rsidR="00225AF4" w:rsidRPr="00A70C5C" w:rsidRDefault="00225AF4" w:rsidP="00225AF4">
            <w:pPr>
              <w:autoSpaceDE w:val="0"/>
              <w:autoSpaceDN w:val="0"/>
              <w:adjustRightInd w:val="0"/>
              <w:ind w:left="98" w:right="104"/>
              <w:jc w:val="both"/>
              <w:rPr>
                <w:sz w:val="26"/>
                <w:szCs w:val="26"/>
              </w:rPr>
            </w:pPr>
            <w:r w:rsidRPr="00A70C5C">
              <w:rPr>
                <w:sz w:val="26"/>
                <w:szCs w:val="26"/>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6</w:t>
            </w:r>
          </w:p>
        </w:tc>
        <w:tc>
          <w:tcPr>
            <w:tcW w:w="9192" w:type="dxa"/>
            <w:shd w:val="clear" w:color="auto" w:fill="FFFFFF"/>
          </w:tcPr>
          <w:p w:rsidR="00225AF4" w:rsidRPr="00A70C5C" w:rsidRDefault="00D93571" w:rsidP="00225AF4">
            <w:pPr>
              <w:ind w:left="98" w:right="104"/>
              <w:jc w:val="both"/>
              <w:rPr>
                <w:sz w:val="26"/>
                <w:szCs w:val="26"/>
              </w:rPr>
            </w:pPr>
            <w:r w:rsidRPr="00A70C5C">
              <w:rPr>
                <w:sz w:val="26"/>
                <w:szCs w:val="26"/>
              </w:rPr>
              <w:t>Прием запроса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7</w:t>
            </w:r>
          </w:p>
        </w:tc>
        <w:tc>
          <w:tcPr>
            <w:tcW w:w="9192" w:type="dxa"/>
            <w:shd w:val="clear" w:color="auto" w:fill="FFFFFF"/>
          </w:tcPr>
          <w:p w:rsidR="00225AF4" w:rsidRPr="00A70C5C" w:rsidRDefault="00D93571" w:rsidP="00225AF4">
            <w:pPr>
              <w:ind w:left="98" w:right="104"/>
              <w:jc w:val="both"/>
              <w:rPr>
                <w:strike/>
                <w:sz w:val="26"/>
                <w:szCs w:val="26"/>
              </w:rPr>
            </w:pPr>
            <w:r w:rsidRPr="00A70C5C">
              <w:rPr>
                <w:sz w:val="26"/>
                <w:szCs w:val="26"/>
              </w:rPr>
              <w:t>Прием запроса о предоставлении акта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8</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Прием заявления о доступе к личному кабинету налогоплательщика для физических лиц</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9</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Прием уведомления о выбранном земельном участке, в отношении которого применяется налоговый вычет по земельному налогу</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10</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 xml:space="preserve">Прием заявления физического лица о предоставлении налоговой льготы по транспортному налогу, земельному налогу, налогу на имущество физических лиц </w:t>
            </w:r>
          </w:p>
        </w:tc>
      </w:tr>
      <w:tr w:rsidR="00225AF4" w:rsidRPr="00A70C5C" w:rsidTr="00D93571">
        <w:trPr>
          <w:trHeight w:val="1224"/>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11</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12</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Приём заявления о выдаче налогового уведомления</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13</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Прием сообщений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lastRenderedPageBreak/>
              <w:t>14</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15</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16</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Предоставление сведений, содержащихся в Едином государственном реестре юридических лиц (в части предоставления по запросам физических и юридических лиц копии документа (документов), содержащегося в ЕГРЮЛ, за исключением случаев срочного предоставления)</w:t>
            </w:r>
          </w:p>
        </w:tc>
      </w:tr>
      <w:tr w:rsidR="00225AF4" w:rsidRPr="00A70C5C" w:rsidTr="009B5AE9">
        <w:trPr>
          <w:trHeight w:val="551"/>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17</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Прием заявления о гибели или уничтожении объекта налогообложения по налогу на имущество физических лиц</w:t>
            </w:r>
          </w:p>
        </w:tc>
      </w:tr>
      <w:tr w:rsidR="00225AF4" w:rsidRPr="00A70C5C" w:rsidTr="009B5AE9">
        <w:trPr>
          <w:jc w:val="center"/>
        </w:trPr>
        <w:tc>
          <w:tcPr>
            <w:tcW w:w="886" w:type="dxa"/>
            <w:shd w:val="clear" w:color="auto" w:fill="FFFFFF"/>
          </w:tcPr>
          <w:p w:rsidR="00225AF4" w:rsidRPr="00A70C5C" w:rsidRDefault="00225AF4" w:rsidP="0018783A">
            <w:pPr>
              <w:jc w:val="center"/>
              <w:rPr>
                <w:sz w:val="26"/>
                <w:szCs w:val="26"/>
              </w:rPr>
            </w:pPr>
            <w:r w:rsidRPr="00A70C5C">
              <w:rPr>
                <w:sz w:val="26"/>
                <w:szCs w:val="26"/>
              </w:rPr>
              <w:t>18</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tc>
      </w:tr>
      <w:tr w:rsidR="00225AF4" w:rsidRPr="00A70C5C" w:rsidTr="009B5AE9">
        <w:trPr>
          <w:jc w:val="center"/>
        </w:trPr>
        <w:tc>
          <w:tcPr>
            <w:tcW w:w="886" w:type="dxa"/>
            <w:shd w:val="clear" w:color="auto" w:fill="FFFFFF"/>
          </w:tcPr>
          <w:p w:rsidR="00225AF4" w:rsidRPr="00A70C5C" w:rsidRDefault="00225AF4" w:rsidP="0018783A">
            <w:pPr>
              <w:ind w:right="104"/>
              <w:jc w:val="center"/>
              <w:rPr>
                <w:sz w:val="26"/>
                <w:szCs w:val="26"/>
              </w:rPr>
            </w:pPr>
            <w:r w:rsidRPr="00A70C5C">
              <w:rPr>
                <w:sz w:val="26"/>
                <w:szCs w:val="26"/>
              </w:rPr>
              <w:t>19</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Прием заявления о гибели или уничтожении объекта налогообложения по транспортному налогу</w:t>
            </w:r>
          </w:p>
        </w:tc>
      </w:tr>
      <w:tr w:rsidR="00225AF4" w:rsidRPr="00A70C5C" w:rsidTr="009B5AE9">
        <w:trPr>
          <w:jc w:val="center"/>
        </w:trPr>
        <w:tc>
          <w:tcPr>
            <w:tcW w:w="886" w:type="dxa"/>
            <w:shd w:val="clear" w:color="auto" w:fill="FFFFFF"/>
          </w:tcPr>
          <w:p w:rsidR="00225AF4" w:rsidRPr="00A70C5C" w:rsidRDefault="00225AF4" w:rsidP="0018783A">
            <w:pPr>
              <w:ind w:right="104"/>
              <w:jc w:val="center"/>
              <w:rPr>
                <w:sz w:val="26"/>
                <w:szCs w:val="26"/>
              </w:rPr>
            </w:pPr>
            <w:r w:rsidRPr="00A70C5C">
              <w:rPr>
                <w:sz w:val="26"/>
                <w:szCs w:val="26"/>
              </w:rPr>
              <w:t>20</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Прием заявления физического лица о прекращении исчисления транспортного налога в связи с принудительным изъятием транспортного средства</w:t>
            </w:r>
          </w:p>
        </w:tc>
      </w:tr>
      <w:tr w:rsidR="00225AF4" w:rsidRPr="00A70C5C" w:rsidTr="009B5AE9">
        <w:trPr>
          <w:jc w:val="center"/>
        </w:trPr>
        <w:tc>
          <w:tcPr>
            <w:tcW w:w="886" w:type="dxa"/>
            <w:shd w:val="clear" w:color="auto" w:fill="FFFFFF"/>
          </w:tcPr>
          <w:p w:rsidR="00225AF4" w:rsidRPr="00A70C5C" w:rsidRDefault="00225AF4" w:rsidP="0018783A">
            <w:pPr>
              <w:ind w:right="104"/>
              <w:jc w:val="center"/>
              <w:rPr>
                <w:sz w:val="26"/>
                <w:szCs w:val="26"/>
              </w:rPr>
            </w:pPr>
            <w:r w:rsidRPr="00A70C5C">
              <w:rPr>
                <w:sz w:val="26"/>
                <w:szCs w:val="26"/>
              </w:rPr>
              <w:t>21</w:t>
            </w:r>
          </w:p>
        </w:tc>
        <w:tc>
          <w:tcPr>
            <w:tcW w:w="9192" w:type="dxa"/>
            <w:shd w:val="clear" w:color="auto" w:fill="FFFFFF"/>
          </w:tcPr>
          <w:p w:rsidR="00225AF4" w:rsidRPr="00A70C5C" w:rsidRDefault="00225AF4" w:rsidP="00225AF4">
            <w:pPr>
              <w:ind w:left="98" w:right="104"/>
              <w:jc w:val="both"/>
              <w:rPr>
                <w:sz w:val="26"/>
                <w:szCs w:val="26"/>
              </w:rPr>
            </w:pPr>
            <w:r w:rsidRPr="00A70C5C">
              <w:rPr>
                <w:sz w:val="26"/>
                <w:szCs w:val="26"/>
              </w:rPr>
              <w:t>Прием заявления на применение патентной системы налогообложения индивидуальным предпринимателем</w:t>
            </w:r>
          </w:p>
        </w:tc>
      </w:tr>
      <w:tr w:rsidR="00D93571" w:rsidRPr="00A70C5C" w:rsidTr="009B5AE9">
        <w:trPr>
          <w:jc w:val="center"/>
        </w:trPr>
        <w:tc>
          <w:tcPr>
            <w:tcW w:w="886" w:type="dxa"/>
            <w:shd w:val="clear" w:color="auto" w:fill="FFFFFF"/>
          </w:tcPr>
          <w:p w:rsidR="00D93571" w:rsidRPr="00A70C5C" w:rsidRDefault="00D93571" w:rsidP="0018783A">
            <w:pPr>
              <w:ind w:right="104"/>
              <w:jc w:val="center"/>
              <w:rPr>
                <w:sz w:val="26"/>
                <w:szCs w:val="26"/>
              </w:rPr>
            </w:pPr>
            <w:r w:rsidRPr="00A70C5C">
              <w:rPr>
                <w:sz w:val="26"/>
                <w:szCs w:val="26"/>
              </w:rPr>
              <w:t>22</w:t>
            </w:r>
          </w:p>
        </w:tc>
        <w:tc>
          <w:tcPr>
            <w:tcW w:w="9192" w:type="dxa"/>
            <w:shd w:val="clear" w:color="auto" w:fill="FFFFFF"/>
          </w:tcPr>
          <w:p w:rsidR="00D93571" w:rsidRPr="00A70C5C" w:rsidRDefault="00D93571" w:rsidP="00225AF4">
            <w:pPr>
              <w:ind w:left="98" w:right="104"/>
              <w:jc w:val="both"/>
              <w:rPr>
                <w:sz w:val="26"/>
                <w:szCs w:val="26"/>
              </w:rPr>
            </w:pPr>
            <w:r w:rsidRPr="00A70C5C">
              <w:rPr>
                <w:sz w:val="26"/>
                <w:szCs w:val="26"/>
              </w:rPr>
              <w:t>Прием запроса о предоставлении справки о принадлежности сумм денежных средств, перечисленных в качестве единого налогового платежа</w:t>
            </w:r>
          </w:p>
        </w:tc>
      </w:tr>
      <w:tr w:rsidR="00D93571" w:rsidRPr="00A70C5C" w:rsidTr="009B5AE9">
        <w:trPr>
          <w:jc w:val="center"/>
        </w:trPr>
        <w:tc>
          <w:tcPr>
            <w:tcW w:w="886" w:type="dxa"/>
            <w:shd w:val="clear" w:color="auto" w:fill="FFFFFF"/>
          </w:tcPr>
          <w:p w:rsidR="00D93571" w:rsidRPr="00A70C5C" w:rsidRDefault="00D93571" w:rsidP="0018783A">
            <w:pPr>
              <w:ind w:right="104"/>
              <w:jc w:val="center"/>
              <w:rPr>
                <w:sz w:val="26"/>
                <w:szCs w:val="26"/>
              </w:rPr>
            </w:pPr>
            <w:r w:rsidRPr="00A70C5C">
              <w:rPr>
                <w:sz w:val="26"/>
                <w:szCs w:val="26"/>
              </w:rPr>
              <w:t>23</w:t>
            </w:r>
          </w:p>
        </w:tc>
        <w:tc>
          <w:tcPr>
            <w:tcW w:w="9192" w:type="dxa"/>
            <w:shd w:val="clear" w:color="auto" w:fill="FFFFFF"/>
          </w:tcPr>
          <w:p w:rsidR="00D93571" w:rsidRPr="00A70C5C" w:rsidRDefault="00D93571" w:rsidP="00225AF4">
            <w:pPr>
              <w:ind w:left="98" w:right="104"/>
              <w:jc w:val="both"/>
              <w:rPr>
                <w:sz w:val="26"/>
                <w:szCs w:val="26"/>
              </w:rPr>
            </w:pPr>
            <w:r w:rsidRPr="00A70C5C">
              <w:rPr>
                <w:sz w:val="26"/>
                <w:szCs w:val="26"/>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D93571" w:rsidRPr="00A70C5C" w:rsidTr="009B5AE9">
        <w:trPr>
          <w:jc w:val="center"/>
        </w:trPr>
        <w:tc>
          <w:tcPr>
            <w:tcW w:w="886" w:type="dxa"/>
            <w:shd w:val="clear" w:color="auto" w:fill="FFFFFF"/>
          </w:tcPr>
          <w:p w:rsidR="00D93571" w:rsidRPr="00A70C5C" w:rsidRDefault="00D93571" w:rsidP="0018783A">
            <w:pPr>
              <w:ind w:right="104"/>
              <w:jc w:val="center"/>
              <w:rPr>
                <w:sz w:val="26"/>
                <w:szCs w:val="26"/>
              </w:rPr>
            </w:pPr>
            <w:r w:rsidRPr="00A70C5C">
              <w:rPr>
                <w:sz w:val="26"/>
                <w:szCs w:val="26"/>
              </w:rPr>
              <w:t>24</w:t>
            </w:r>
          </w:p>
        </w:tc>
        <w:tc>
          <w:tcPr>
            <w:tcW w:w="9192" w:type="dxa"/>
            <w:shd w:val="clear" w:color="auto" w:fill="FFFFFF"/>
          </w:tcPr>
          <w:p w:rsidR="00D93571" w:rsidRPr="00A70C5C" w:rsidRDefault="00D93571" w:rsidP="00225AF4">
            <w:pPr>
              <w:ind w:left="98" w:right="104"/>
              <w:jc w:val="both"/>
              <w:rPr>
                <w:sz w:val="26"/>
                <w:szCs w:val="26"/>
              </w:rPr>
            </w:pPr>
            <w:r w:rsidRPr="00A70C5C">
              <w:rPr>
                <w:sz w:val="26"/>
                <w:szCs w:val="26"/>
              </w:rPr>
              <w:t>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p>
        </w:tc>
      </w:tr>
      <w:tr w:rsidR="009C184E" w:rsidRPr="00A70C5C" w:rsidTr="009B5AE9">
        <w:trPr>
          <w:jc w:val="center"/>
        </w:trPr>
        <w:tc>
          <w:tcPr>
            <w:tcW w:w="886" w:type="dxa"/>
            <w:shd w:val="clear" w:color="auto" w:fill="FFFFFF"/>
          </w:tcPr>
          <w:p w:rsidR="009C184E" w:rsidRPr="00A70C5C" w:rsidRDefault="009C184E" w:rsidP="0018783A">
            <w:pPr>
              <w:ind w:right="104"/>
              <w:jc w:val="center"/>
              <w:rPr>
                <w:sz w:val="26"/>
                <w:szCs w:val="26"/>
              </w:rPr>
            </w:pPr>
            <w:r w:rsidRPr="00A70C5C">
              <w:rPr>
                <w:sz w:val="26"/>
                <w:szCs w:val="26"/>
              </w:rPr>
              <w:t>25</w:t>
            </w:r>
          </w:p>
        </w:tc>
        <w:tc>
          <w:tcPr>
            <w:tcW w:w="9192" w:type="dxa"/>
            <w:shd w:val="clear" w:color="auto" w:fill="FFFFFF"/>
          </w:tcPr>
          <w:p w:rsidR="009C184E" w:rsidRPr="00A70C5C" w:rsidRDefault="009C184E" w:rsidP="00225AF4">
            <w:pPr>
              <w:ind w:left="98" w:right="104"/>
              <w:jc w:val="both"/>
              <w:rPr>
                <w:sz w:val="26"/>
                <w:szCs w:val="26"/>
              </w:rPr>
            </w:pPr>
            <w:r w:rsidRPr="00A70C5C">
              <w:rPr>
                <w:sz w:val="26"/>
                <w:szCs w:val="26"/>
              </w:rPr>
              <w:t>Прием уведомления о переходе на упрощенную систему налогообложения</w:t>
            </w:r>
          </w:p>
        </w:tc>
      </w:tr>
      <w:tr w:rsidR="009C184E" w:rsidRPr="00A70C5C" w:rsidTr="009B5AE9">
        <w:trPr>
          <w:jc w:val="center"/>
        </w:trPr>
        <w:tc>
          <w:tcPr>
            <w:tcW w:w="886" w:type="dxa"/>
            <w:shd w:val="clear" w:color="auto" w:fill="FFFFFF"/>
          </w:tcPr>
          <w:p w:rsidR="009C184E" w:rsidRPr="00A70C5C" w:rsidRDefault="009C184E" w:rsidP="0018783A">
            <w:pPr>
              <w:ind w:right="104"/>
              <w:jc w:val="center"/>
              <w:rPr>
                <w:sz w:val="26"/>
                <w:szCs w:val="26"/>
              </w:rPr>
            </w:pPr>
            <w:r w:rsidRPr="00A70C5C">
              <w:rPr>
                <w:sz w:val="26"/>
                <w:szCs w:val="26"/>
              </w:rPr>
              <w:t>26</w:t>
            </w:r>
          </w:p>
        </w:tc>
        <w:tc>
          <w:tcPr>
            <w:tcW w:w="9192" w:type="dxa"/>
            <w:shd w:val="clear" w:color="auto" w:fill="FFFFFF"/>
          </w:tcPr>
          <w:p w:rsidR="009C184E" w:rsidRPr="00A70C5C" w:rsidRDefault="009C184E" w:rsidP="00225AF4">
            <w:pPr>
              <w:ind w:left="98" w:right="104"/>
              <w:jc w:val="both"/>
              <w:rPr>
                <w:sz w:val="26"/>
                <w:szCs w:val="26"/>
              </w:rPr>
            </w:pPr>
            <w:r w:rsidRPr="00A70C5C">
              <w:rPr>
                <w:sz w:val="26"/>
                <w:szCs w:val="26"/>
              </w:rPr>
              <w:t>Прием уведомления о переходе на систему налогообложения для сельскохозяйственных товаропроизводителей</w:t>
            </w:r>
          </w:p>
          <w:p w:rsidR="00A70C5C" w:rsidRPr="00A70C5C" w:rsidRDefault="00A70C5C" w:rsidP="00225AF4">
            <w:pPr>
              <w:ind w:left="98" w:right="104"/>
              <w:jc w:val="both"/>
              <w:rPr>
                <w:sz w:val="26"/>
                <w:szCs w:val="26"/>
              </w:rPr>
            </w:pPr>
          </w:p>
        </w:tc>
      </w:tr>
      <w:tr w:rsidR="00A70C5C" w:rsidRPr="00A70C5C" w:rsidTr="009B5AE9">
        <w:trPr>
          <w:jc w:val="center"/>
        </w:trPr>
        <w:tc>
          <w:tcPr>
            <w:tcW w:w="886" w:type="dxa"/>
            <w:shd w:val="clear" w:color="auto" w:fill="FFFFFF"/>
          </w:tcPr>
          <w:p w:rsidR="00A70C5C" w:rsidRPr="00A70C5C" w:rsidRDefault="00A70C5C" w:rsidP="0018783A">
            <w:pPr>
              <w:ind w:right="104"/>
              <w:jc w:val="center"/>
              <w:rPr>
                <w:sz w:val="26"/>
                <w:szCs w:val="26"/>
              </w:rPr>
            </w:pPr>
            <w:r w:rsidRPr="00A70C5C">
              <w:rPr>
                <w:sz w:val="26"/>
                <w:szCs w:val="26"/>
              </w:rPr>
              <w:t>27</w:t>
            </w:r>
          </w:p>
        </w:tc>
        <w:tc>
          <w:tcPr>
            <w:tcW w:w="9192" w:type="dxa"/>
            <w:shd w:val="clear" w:color="auto" w:fill="FFFFFF"/>
          </w:tcPr>
          <w:p w:rsidR="00A70C5C" w:rsidRPr="00A70C5C" w:rsidRDefault="00A70C5C" w:rsidP="00225AF4">
            <w:pPr>
              <w:ind w:left="98" w:right="104"/>
              <w:jc w:val="both"/>
              <w:rPr>
                <w:sz w:val="26"/>
                <w:szCs w:val="26"/>
              </w:rPr>
            </w:pPr>
            <w:r w:rsidRPr="00A70C5C">
              <w:rPr>
                <w:sz w:val="26"/>
                <w:szCs w:val="26"/>
              </w:rPr>
              <w:t>Прием заявления о прекращении исчисления транспортного налога (авансового платежа по налогу) в отношении транспортного средства, находящегося в розыске в связи с его угоном (хищением), транспортного средства, находившегося в розыске в связи с его угоном (хищением), розыск которого прекращен</w:t>
            </w:r>
          </w:p>
        </w:tc>
      </w:tr>
      <w:tr w:rsidR="00A70C5C" w:rsidRPr="00A70C5C" w:rsidTr="009B5AE9">
        <w:trPr>
          <w:jc w:val="center"/>
        </w:trPr>
        <w:tc>
          <w:tcPr>
            <w:tcW w:w="886" w:type="dxa"/>
            <w:shd w:val="clear" w:color="auto" w:fill="FFFFFF"/>
          </w:tcPr>
          <w:p w:rsidR="00A70C5C" w:rsidRPr="00A70C5C" w:rsidRDefault="00A70C5C" w:rsidP="0018783A">
            <w:pPr>
              <w:ind w:right="104"/>
              <w:jc w:val="center"/>
              <w:rPr>
                <w:sz w:val="26"/>
                <w:szCs w:val="26"/>
              </w:rPr>
            </w:pPr>
            <w:r w:rsidRPr="00A70C5C">
              <w:rPr>
                <w:sz w:val="26"/>
                <w:szCs w:val="26"/>
              </w:rPr>
              <w:t>28</w:t>
            </w:r>
          </w:p>
        </w:tc>
        <w:tc>
          <w:tcPr>
            <w:tcW w:w="9192" w:type="dxa"/>
            <w:shd w:val="clear" w:color="auto" w:fill="FFFFFF"/>
          </w:tcPr>
          <w:p w:rsidR="00A70C5C" w:rsidRPr="00A70C5C" w:rsidRDefault="00A70C5C" w:rsidP="00232735">
            <w:pPr>
              <w:ind w:left="98" w:right="104"/>
              <w:jc w:val="both"/>
              <w:rPr>
                <w:sz w:val="26"/>
                <w:szCs w:val="26"/>
              </w:rPr>
            </w:pPr>
            <w:r w:rsidRPr="00A70C5C">
              <w:rPr>
                <w:sz w:val="26"/>
                <w:szCs w:val="26"/>
              </w:rPr>
              <w:t>Прием уведомлени</w:t>
            </w:r>
            <w:r w:rsidR="00232735">
              <w:rPr>
                <w:sz w:val="26"/>
                <w:szCs w:val="26"/>
              </w:rPr>
              <w:t>я</w:t>
            </w:r>
            <w:r w:rsidRPr="00A70C5C">
              <w:rPr>
                <w:sz w:val="26"/>
                <w:szCs w:val="26"/>
              </w:rPr>
              <w:t xml:space="preserve">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w:t>
            </w:r>
            <w:bookmarkStart w:id="0" w:name="_GoBack"/>
            <w:bookmarkEnd w:id="0"/>
            <w:r w:rsidRPr="00A70C5C">
              <w:rPr>
                <w:sz w:val="26"/>
                <w:szCs w:val="26"/>
              </w:rPr>
              <w:t>,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p>
        </w:tc>
      </w:tr>
    </w:tbl>
    <w:p w:rsidR="00225AF4" w:rsidRPr="009B5AE9" w:rsidRDefault="00225AF4" w:rsidP="009B5AE9">
      <w:pPr>
        <w:autoSpaceDE w:val="0"/>
        <w:adjustRightInd w:val="0"/>
        <w:jc w:val="center"/>
        <w:rPr>
          <w:b/>
          <w:sz w:val="16"/>
          <w:szCs w:val="16"/>
        </w:rPr>
      </w:pPr>
    </w:p>
    <w:sectPr w:rsidR="00225AF4" w:rsidRPr="009B5AE9" w:rsidSect="009B5AE9">
      <w:pgSz w:w="11906" w:h="16838"/>
      <w:pgMar w:top="709" w:right="851" w:bottom="426"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D0"/>
    <w:rsid w:val="000021D0"/>
    <w:rsid w:val="000A609C"/>
    <w:rsid w:val="00225AF4"/>
    <w:rsid w:val="00232735"/>
    <w:rsid w:val="002C2CDC"/>
    <w:rsid w:val="00681BFD"/>
    <w:rsid w:val="00713457"/>
    <w:rsid w:val="009B5AE9"/>
    <w:rsid w:val="009C184E"/>
    <w:rsid w:val="00A70C5C"/>
    <w:rsid w:val="00AE410A"/>
    <w:rsid w:val="00D5765A"/>
    <w:rsid w:val="00D9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1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1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A69C8-C9CB-4E41-A515-A8B9C5F6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Ахмедзянова Наталья Александровна</dc:creator>
  <cp:lastModifiedBy>Ракаева Юлия Семёновна</cp:lastModifiedBy>
  <cp:revision>3</cp:revision>
  <cp:lastPrinted>2022-08-29T04:59:00Z</cp:lastPrinted>
  <dcterms:created xsi:type="dcterms:W3CDTF">2024-01-30T05:48:00Z</dcterms:created>
  <dcterms:modified xsi:type="dcterms:W3CDTF">2024-01-30T05:48:00Z</dcterms:modified>
</cp:coreProperties>
</file>